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982F1" w14:textId="2C6CCC5D" w:rsidR="00BB2CDA" w:rsidRPr="00B076A1" w:rsidRDefault="00D31362" w:rsidP="00AC5FBE">
      <w:pPr>
        <w:spacing w:after="0" w:line="240" w:lineRule="auto"/>
        <w:rPr>
          <w:rFonts w:ascii="Arial" w:eastAsia="Arial" w:hAnsi="Arial" w:cs="Arial"/>
          <w:b/>
          <w:sz w:val="20"/>
          <w:szCs w:val="20"/>
        </w:rPr>
      </w:pPr>
      <w:r w:rsidRPr="00B076A1">
        <w:rPr>
          <w:rFonts w:ascii="Arial" w:hAnsi="Arial"/>
          <w:b/>
          <w:sz w:val="20"/>
        </w:rPr>
        <w:t xml:space="preserve">031 Protéger </w:t>
      </w:r>
      <w:r w:rsidR="00BB2CDA" w:rsidRPr="00B076A1">
        <w:rPr>
          <w:rFonts w:ascii="Arial" w:eastAsia="Arial" w:hAnsi="Arial" w:cs="Arial"/>
          <w:b/>
          <w:sz w:val="20"/>
          <w:szCs w:val="20"/>
        </w:rPr>
        <w:t>les sites du patrimoine mondial du golfe de Californie au Mexique de l</w:t>
      </w:r>
      <w:r w:rsidR="00F867D8" w:rsidRPr="00B076A1">
        <w:rPr>
          <w:rFonts w:ascii="Arial" w:eastAsia="Arial" w:hAnsi="Arial" w:cs="Arial"/>
          <w:b/>
          <w:sz w:val="20"/>
          <w:szCs w:val="20"/>
        </w:rPr>
        <w:t>’</w:t>
      </w:r>
      <w:r w:rsidR="00BB2CDA" w:rsidRPr="00B076A1">
        <w:rPr>
          <w:rFonts w:ascii="Arial" w:eastAsia="Arial" w:hAnsi="Arial" w:cs="Arial"/>
          <w:b/>
          <w:sz w:val="20"/>
          <w:szCs w:val="20"/>
        </w:rPr>
        <w:t xml:space="preserve">industrialisation </w:t>
      </w:r>
      <w:r w:rsidR="00BB2CDA" w:rsidRPr="00B076A1">
        <w:rPr>
          <w:rFonts w:ascii="Arial" w:hAnsi="Arial"/>
          <w:b/>
          <w:sz w:val="20"/>
        </w:rPr>
        <w:t xml:space="preserve">à des fins de développement </w:t>
      </w:r>
      <w:r w:rsidR="00BB2CDA" w:rsidRPr="00B076A1">
        <w:rPr>
          <w:rFonts w:ascii="Arial" w:eastAsia="Arial" w:hAnsi="Arial" w:cs="Arial"/>
          <w:b/>
          <w:sz w:val="20"/>
          <w:szCs w:val="20"/>
        </w:rPr>
        <w:t>du gaz naturel liquéfié</w:t>
      </w:r>
    </w:p>
    <w:p w14:paraId="5E5787A5" w14:textId="27F7487C" w:rsidR="00AB3DDD" w:rsidRPr="00C51CCC" w:rsidRDefault="00AB3DDD" w:rsidP="00AC5FBE">
      <w:pPr>
        <w:spacing w:after="0" w:line="240" w:lineRule="auto"/>
        <w:rPr>
          <w:rFonts w:ascii="Arial" w:eastAsia="Arial" w:hAnsi="Arial" w:cs="Arial"/>
          <w:bCs/>
          <w:sz w:val="20"/>
          <w:szCs w:val="20"/>
        </w:rPr>
      </w:pPr>
    </w:p>
    <w:p w14:paraId="62EAE55E" w14:textId="5E979BD0" w:rsidR="00D31362" w:rsidRPr="00C51CCC" w:rsidRDefault="66E6F7FD" w:rsidP="00AC5FBE">
      <w:pPr>
        <w:spacing w:after="0" w:line="240" w:lineRule="auto"/>
        <w:rPr>
          <w:bCs/>
          <w:sz w:val="20"/>
          <w:szCs w:val="20"/>
        </w:rPr>
      </w:pPr>
      <w:r w:rsidRPr="00C51CCC">
        <w:rPr>
          <w:rFonts w:ascii="Arial" w:hAnsi="Arial"/>
          <w:bCs/>
          <w:sz w:val="20"/>
        </w:rPr>
        <w:t>RAPPELANT les nombreuses résolutions traitant des conséquences des activités et projets de développement d</w:t>
      </w:r>
      <w:r w:rsidR="00F867D8" w:rsidRPr="00C51CCC">
        <w:rPr>
          <w:rFonts w:ascii="Arial" w:hAnsi="Arial"/>
          <w:bCs/>
          <w:sz w:val="20"/>
        </w:rPr>
        <w:t>’</w:t>
      </w:r>
      <w:r w:rsidRPr="00C51CCC">
        <w:rPr>
          <w:rFonts w:ascii="Arial" w:hAnsi="Arial"/>
          <w:bCs/>
          <w:sz w:val="20"/>
        </w:rPr>
        <w:t>infrastructures du pétrole et du gaz, nuisibles à l’environnement, qui surviennent dans les aires protégées ou qui les affectent ;</w:t>
      </w:r>
    </w:p>
    <w:p w14:paraId="65DD0598" w14:textId="77777777" w:rsidR="00D31362" w:rsidRPr="00C51CCC" w:rsidRDefault="00D31362" w:rsidP="00AC5FBE">
      <w:pPr>
        <w:spacing w:after="0" w:line="240" w:lineRule="auto"/>
        <w:rPr>
          <w:bCs/>
          <w:sz w:val="20"/>
          <w:szCs w:val="20"/>
        </w:rPr>
      </w:pPr>
    </w:p>
    <w:p w14:paraId="286E7911" w14:textId="245D236B" w:rsidR="00D31362" w:rsidRPr="00C51CCC" w:rsidRDefault="66E6F7FD" w:rsidP="00AC5FBE">
      <w:pPr>
        <w:spacing w:after="0" w:line="240" w:lineRule="auto"/>
        <w:rPr>
          <w:bCs/>
          <w:sz w:val="20"/>
          <w:szCs w:val="20"/>
        </w:rPr>
      </w:pPr>
      <w:r w:rsidRPr="00C51CCC">
        <w:rPr>
          <w:rFonts w:ascii="Arial" w:hAnsi="Arial"/>
          <w:bCs/>
          <w:sz w:val="20"/>
        </w:rPr>
        <w:t xml:space="preserve">RAPPELANT que l’Agence internationale de l’énergie a indiqué que « la capacité d’exportation actuelle de GNL [gaz naturel liquéfié] et les projets en cours d’augmentation des capacités suffisent à répondre à </w:t>
      </w:r>
      <w:r w:rsidR="00B26E9C" w:rsidRPr="00C51CCC">
        <w:rPr>
          <w:rFonts w:ascii="Arial" w:hAnsi="Arial"/>
          <w:bCs/>
          <w:sz w:val="20"/>
        </w:rPr>
        <w:t xml:space="preserve">la </w:t>
      </w:r>
      <w:r w:rsidRPr="00C51CCC">
        <w:rPr>
          <w:rFonts w:ascii="Arial" w:hAnsi="Arial"/>
          <w:bCs/>
          <w:sz w:val="20"/>
        </w:rPr>
        <w:t>demande prévue [...] aucun nouveau projet n’est nécessaire à court terme pour satisfaire la demande en GNL »</w:t>
      </w:r>
      <w:r w:rsidR="00CD6CC7" w:rsidRPr="00C51CCC">
        <w:rPr>
          <w:rFonts w:ascii="Arial" w:hAnsi="Arial"/>
          <w:bCs/>
          <w:sz w:val="20"/>
        </w:rPr>
        <w:t> ;</w:t>
      </w:r>
    </w:p>
    <w:p w14:paraId="49AE2A3C" w14:textId="77777777" w:rsidR="00D31362" w:rsidRPr="00C51CCC" w:rsidRDefault="00D31362" w:rsidP="00AC5FBE">
      <w:pPr>
        <w:spacing w:after="0" w:line="240" w:lineRule="auto"/>
        <w:rPr>
          <w:bCs/>
          <w:sz w:val="20"/>
          <w:szCs w:val="20"/>
        </w:rPr>
      </w:pPr>
    </w:p>
    <w:p w14:paraId="054454D2" w14:textId="34872837" w:rsidR="005046CB" w:rsidRPr="00C51CCC" w:rsidRDefault="005046CB" w:rsidP="00AC5FBE">
      <w:pPr>
        <w:spacing w:after="0" w:line="240" w:lineRule="auto"/>
        <w:rPr>
          <w:rFonts w:ascii="Arial" w:hAnsi="Arial"/>
          <w:bCs/>
          <w:sz w:val="20"/>
        </w:rPr>
      </w:pPr>
      <w:r w:rsidRPr="00C51CCC">
        <w:rPr>
          <w:rFonts w:ascii="Arial" w:hAnsi="Arial"/>
          <w:bCs/>
          <w:sz w:val="20"/>
        </w:rPr>
        <w:t xml:space="preserve">RECONNAISSANT que le GNL ne </w:t>
      </w:r>
      <w:proofErr w:type="gramStart"/>
      <w:r w:rsidRPr="00C51CCC">
        <w:rPr>
          <w:rFonts w:ascii="Arial" w:hAnsi="Arial"/>
          <w:bCs/>
          <w:sz w:val="20"/>
        </w:rPr>
        <w:t>contribuera</w:t>
      </w:r>
      <w:proofErr w:type="gramEnd"/>
      <w:r w:rsidRPr="00C51CCC">
        <w:rPr>
          <w:rFonts w:ascii="Arial" w:hAnsi="Arial"/>
          <w:bCs/>
          <w:sz w:val="20"/>
        </w:rPr>
        <w:t xml:space="preserve"> pas à la décarbonation du transport maritime, étant donné que ce combustible est tout aussi nocif pour le climat que le fioul lourd en raison des fuites de méthane qui y sont associées ;</w:t>
      </w:r>
    </w:p>
    <w:p w14:paraId="4AA913B5" w14:textId="77777777" w:rsidR="005046CB" w:rsidRPr="00C51CCC" w:rsidRDefault="005046CB" w:rsidP="00AC5FBE">
      <w:pPr>
        <w:spacing w:after="0" w:line="240" w:lineRule="auto"/>
        <w:rPr>
          <w:rFonts w:ascii="Arial" w:hAnsi="Arial"/>
          <w:bCs/>
          <w:sz w:val="20"/>
        </w:rPr>
      </w:pPr>
    </w:p>
    <w:p w14:paraId="71C0EE96" w14:textId="2976B922" w:rsidR="00D31362" w:rsidRPr="00C51CCC" w:rsidRDefault="66E6F7FD" w:rsidP="00AC5FBE">
      <w:pPr>
        <w:spacing w:after="0" w:line="240" w:lineRule="auto"/>
        <w:rPr>
          <w:bCs/>
          <w:sz w:val="20"/>
          <w:szCs w:val="20"/>
        </w:rPr>
      </w:pPr>
      <w:r w:rsidRPr="00C51CCC">
        <w:rPr>
          <w:rFonts w:ascii="Arial" w:hAnsi="Arial"/>
          <w:bCs/>
          <w:sz w:val="20"/>
        </w:rPr>
        <w:t xml:space="preserve">RECONNAISSANT que les îles et aires protégées du </w:t>
      </w:r>
      <w:r w:rsidR="0011661A" w:rsidRPr="00C51CCC">
        <w:rPr>
          <w:rFonts w:ascii="Arial" w:hAnsi="Arial"/>
          <w:bCs/>
          <w:sz w:val="20"/>
        </w:rPr>
        <w:t>g</w:t>
      </w:r>
      <w:r w:rsidRPr="00C51CCC">
        <w:rPr>
          <w:rFonts w:ascii="Arial" w:hAnsi="Arial"/>
          <w:bCs/>
          <w:sz w:val="20"/>
        </w:rPr>
        <w:t>olfe de Californie sont reconnues depuis 2005 par la communauté internationale en tant que site du patrimoine mondial en raison de leur valeur écologique unique ;</w:t>
      </w:r>
    </w:p>
    <w:p w14:paraId="08C00362" w14:textId="77777777" w:rsidR="00D31362" w:rsidRPr="00C51CCC" w:rsidRDefault="00D31362" w:rsidP="00AC5FBE">
      <w:pPr>
        <w:spacing w:after="0" w:line="240" w:lineRule="auto"/>
        <w:rPr>
          <w:bCs/>
          <w:sz w:val="20"/>
          <w:szCs w:val="20"/>
        </w:rPr>
      </w:pPr>
    </w:p>
    <w:p w14:paraId="07634BCD" w14:textId="0C14A27B" w:rsidR="00D31362" w:rsidRPr="00C51CCC" w:rsidRDefault="66E6F7FD" w:rsidP="00AC5FBE">
      <w:pPr>
        <w:spacing w:after="0" w:line="240" w:lineRule="auto"/>
        <w:rPr>
          <w:bCs/>
          <w:sz w:val="20"/>
          <w:szCs w:val="20"/>
        </w:rPr>
      </w:pPr>
      <w:r w:rsidRPr="00C51CCC">
        <w:rPr>
          <w:rFonts w:ascii="Arial" w:hAnsi="Arial"/>
          <w:bCs/>
          <w:sz w:val="20"/>
        </w:rPr>
        <w:t xml:space="preserve">CONSIDÉRANT les études scientifiques montrant les importants processus écologiques du </w:t>
      </w:r>
      <w:r w:rsidR="0011661A" w:rsidRPr="00C51CCC">
        <w:rPr>
          <w:rFonts w:ascii="Arial" w:hAnsi="Arial"/>
          <w:bCs/>
          <w:sz w:val="20"/>
        </w:rPr>
        <w:t>g</w:t>
      </w:r>
      <w:r w:rsidRPr="00C51CCC">
        <w:rPr>
          <w:rFonts w:ascii="Arial" w:hAnsi="Arial"/>
          <w:bCs/>
          <w:sz w:val="20"/>
        </w:rPr>
        <w:t>olfe de Californie qui abrite 3</w:t>
      </w:r>
      <w:r w:rsidR="0011661A" w:rsidRPr="00C51CCC">
        <w:rPr>
          <w:rFonts w:ascii="Arial" w:hAnsi="Arial"/>
          <w:bCs/>
          <w:sz w:val="20"/>
        </w:rPr>
        <w:t>9 </w:t>
      </w:r>
      <w:r w:rsidRPr="00C51CCC">
        <w:rPr>
          <w:rFonts w:ascii="Arial" w:hAnsi="Arial"/>
          <w:bCs/>
          <w:sz w:val="20"/>
        </w:rPr>
        <w:t>% de toutes les espèces de mammifères marins, 11</w:t>
      </w:r>
      <w:r w:rsidR="00F867D8" w:rsidRPr="00C51CCC">
        <w:rPr>
          <w:rFonts w:ascii="Arial" w:hAnsi="Arial"/>
          <w:bCs/>
          <w:sz w:val="20"/>
        </w:rPr>
        <w:t> </w:t>
      </w:r>
      <w:r w:rsidRPr="00C51CCC">
        <w:rPr>
          <w:rFonts w:ascii="Arial" w:hAnsi="Arial"/>
          <w:bCs/>
          <w:sz w:val="20"/>
        </w:rPr>
        <w:t>espèces de baleines, 891</w:t>
      </w:r>
      <w:r w:rsidR="00F867D8" w:rsidRPr="00C51CCC">
        <w:rPr>
          <w:rFonts w:ascii="Arial" w:hAnsi="Arial"/>
          <w:bCs/>
          <w:sz w:val="20"/>
        </w:rPr>
        <w:t> </w:t>
      </w:r>
      <w:r w:rsidRPr="00C51CCC">
        <w:rPr>
          <w:rFonts w:ascii="Arial" w:hAnsi="Arial"/>
          <w:bCs/>
          <w:sz w:val="20"/>
        </w:rPr>
        <w:t>espèces de poissons, 154</w:t>
      </w:r>
      <w:r w:rsidR="00F867D8" w:rsidRPr="00C51CCC">
        <w:rPr>
          <w:rFonts w:ascii="Arial" w:hAnsi="Arial"/>
          <w:bCs/>
          <w:sz w:val="20"/>
        </w:rPr>
        <w:t> </w:t>
      </w:r>
      <w:r w:rsidRPr="00C51CCC">
        <w:rPr>
          <w:rFonts w:ascii="Arial" w:hAnsi="Arial"/>
          <w:bCs/>
          <w:sz w:val="20"/>
        </w:rPr>
        <w:t>espèces d’oiseaux terrestres, 695</w:t>
      </w:r>
      <w:r w:rsidR="00F867D8" w:rsidRPr="00C51CCC">
        <w:rPr>
          <w:rFonts w:ascii="Arial" w:hAnsi="Arial"/>
          <w:bCs/>
          <w:sz w:val="20"/>
        </w:rPr>
        <w:t> </w:t>
      </w:r>
      <w:r w:rsidRPr="00C51CCC">
        <w:rPr>
          <w:rFonts w:ascii="Arial" w:hAnsi="Arial"/>
          <w:bCs/>
          <w:sz w:val="20"/>
        </w:rPr>
        <w:t>espèces de plantes vasculaires et 115</w:t>
      </w:r>
      <w:r w:rsidR="00F867D8" w:rsidRPr="00C51CCC">
        <w:rPr>
          <w:rFonts w:ascii="Arial" w:hAnsi="Arial"/>
          <w:bCs/>
          <w:sz w:val="20"/>
        </w:rPr>
        <w:t> </w:t>
      </w:r>
      <w:r w:rsidRPr="00C51CCC">
        <w:rPr>
          <w:rFonts w:ascii="Arial" w:hAnsi="Arial"/>
          <w:bCs/>
          <w:sz w:val="20"/>
        </w:rPr>
        <w:t>espèces de reptiles ;</w:t>
      </w:r>
    </w:p>
    <w:p w14:paraId="7CFA14C3" w14:textId="77777777" w:rsidR="00D31362" w:rsidRPr="00C51CCC" w:rsidRDefault="00D31362" w:rsidP="00AC5FBE">
      <w:pPr>
        <w:spacing w:after="0" w:line="240" w:lineRule="auto"/>
        <w:rPr>
          <w:bCs/>
          <w:sz w:val="20"/>
          <w:szCs w:val="20"/>
        </w:rPr>
      </w:pPr>
    </w:p>
    <w:p w14:paraId="6AFE3A79" w14:textId="0AFC33F3" w:rsidR="00D31362" w:rsidRPr="00C51CCC" w:rsidRDefault="66E6F7FD" w:rsidP="00AC5FBE">
      <w:pPr>
        <w:spacing w:after="0" w:line="240" w:lineRule="auto"/>
        <w:rPr>
          <w:bCs/>
          <w:sz w:val="20"/>
          <w:szCs w:val="20"/>
        </w:rPr>
      </w:pPr>
      <w:r w:rsidRPr="00C51CCC">
        <w:rPr>
          <w:rFonts w:ascii="Arial" w:hAnsi="Arial"/>
          <w:bCs/>
          <w:sz w:val="20"/>
        </w:rPr>
        <w:t xml:space="preserve">RECONNAISSANT que les peuples autochtones et les communautés locales cultivent de nombreuses traditions profondément ancrées dans l’écosystème marin, le désert alentour et les îles du </w:t>
      </w:r>
      <w:r w:rsidR="0011661A" w:rsidRPr="00C51CCC">
        <w:rPr>
          <w:rFonts w:ascii="Arial" w:hAnsi="Arial"/>
          <w:bCs/>
          <w:sz w:val="20"/>
        </w:rPr>
        <w:t>g</w:t>
      </w:r>
      <w:r w:rsidRPr="00C51CCC">
        <w:rPr>
          <w:rFonts w:ascii="Arial" w:hAnsi="Arial"/>
          <w:bCs/>
          <w:sz w:val="20"/>
        </w:rPr>
        <w:t xml:space="preserve">olfe de Californie, la santé et la richesse de leur biodiversité </w:t>
      </w:r>
      <w:r w:rsidR="0011661A" w:rsidRPr="00C51CCC">
        <w:rPr>
          <w:rFonts w:ascii="Arial" w:hAnsi="Arial"/>
          <w:bCs/>
          <w:sz w:val="20"/>
        </w:rPr>
        <w:t>étant</w:t>
      </w:r>
      <w:r w:rsidRPr="00C51CCC">
        <w:rPr>
          <w:rFonts w:ascii="Arial" w:hAnsi="Arial"/>
          <w:bCs/>
          <w:sz w:val="20"/>
        </w:rPr>
        <w:t xml:space="preserve"> donc indispensables pour alimenter, perpétuer et soutenir les secteurs économiques durables comme </w:t>
      </w:r>
      <w:r w:rsidR="0011661A" w:rsidRPr="00C51CCC">
        <w:rPr>
          <w:rFonts w:ascii="Arial" w:hAnsi="Arial"/>
          <w:bCs/>
          <w:sz w:val="20"/>
        </w:rPr>
        <w:t>ceux</w:t>
      </w:r>
      <w:r w:rsidRPr="00C51CCC">
        <w:rPr>
          <w:rFonts w:ascii="Arial" w:hAnsi="Arial"/>
          <w:bCs/>
          <w:sz w:val="20"/>
        </w:rPr>
        <w:t xml:space="preserve"> de la pêche, du tourisme et des loisirs de toutes les communautés ;</w:t>
      </w:r>
    </w:p>
    <w:p w14:paraId="0CEFF9D0" w14:textId="77777777" w:rsidR="00D31362" w:rsidRPr="00C51CCC" w:rsidRDefault="00D31362" w:rsidP="00AC5FBE">
      <w:pPr>
        <w:spacing w:after="0" w:line="240" w:lineRule="auto"/>
        <w:rPr>
          <w:bCs/>
          <w:sz w:val="20"/>
          <w:szCs w:val="20"/>
        </w:rPr>
      </w:pPr>
    </w:p>
    <w:p w14:paraId="2326BDEB" w14:textId="51A058EF" w:rsidR="00D31362" w:rsidRPr="00C51CCC" w:rsidRDefault="66E6F7FD" w:rsidP="00AC5FBE">
      <w:pPr>
        <w:spacing w:after="0" w:line="240" w:lineRule="auto"/>
        <w:rPr>
          <w:bCs/>
          <w:sz w:val="20"/>
          <w:szCs w:val="20"/>
        </w:rPr>
      </w:pPr>
      <w:r w:rsidRPr="00C51CCC">
        <w:rPr>
          <w:rFonts w:ascii="Arial" w:hAnsi="Arial"/>
          <w:bCs/>
          <w:sz w:val="20"/>
        </w:rPr>
        <w:t>RECONNAISSANT que le Comité du patrimoine mondial de l’Organisation des Nations Unies pour l’éducation, la science et la culture (UNESCO) a fait part de ses inquiétudes quant aux autorisations concernant les infrastructures de GNL ainsi qu’à l’incompatibilité entre une industrialisation néfaste pour l’environnement et une inscription au patrimoine mondial ;</w:t>
      </w:r>
    </w:p>
    <w:p w14:paraId="503EA6BE" w14:textId="77777777" w:rsidR="00D31362" w:rsidRPr="00C51CCC" w:rsidRDefault="00D31362" w:rsidP="00AC5FBE">
      <w:pPr>
        <w:spacing w:after="0" w:line="240" w:lineRule="auto"/>
        <w:rPr>
          <w:bCs/>
          <w:sz w:val="20"/>
          <w:szCs w:val="20"/>
        </w:rPr>
      </w:pPr>
    </w:p>
    <w:p w14:paraId="5154306F" w14:textId="4A6A525D" w:rsidR="00D31362" w:rsidRPr="00C51CCC" w:rsidRDefault="66E6F7FD" w:rsidP="00AC5FBE">
      <w:pPr>
        <w:spacing w:after="0" w:line="240" w:lineRule="auto"/>
        <w:rPr>
          <w:bCs/>
          <w:sz w:val="20"/>
          <w:szCs w:val="20"/>
        </w:rPr>
      </w:pPr>
      <w:r w:rsidRPr="00C51CCC">
        <w:rPr>
          <w:rFonts w:ascii="Arial" w:hAnsi="Arial"/>
          <w:bCs/>
          <w:sz w:val="20"/>
        </w:rPr>
        <w:t xml:space="preserve">FÉLICITANT le gouvernement du Mexique pour avoir protégé la biodiversité emblématique du </w:t>
      </w:r>
      <w:r w:rsidR="006C0118" w:rsidRPr="00C51CCC">
        <w:rPr>
          <w:rFonts w:ascii="Arial" w:hAnsi="Arial"/>
          <w:bCs/>
          <w:sz w:val="20"/>
        </w:rPr>
        <w:t>g</w:t>
      </w:r>
      <w:r w:rsidRPr="00C51CCC">
        <w:rPr>
          <w:rFonts w:ascii="Arial" w:hAnsi="Arial"/>
          <w:bCs/>
          <w:sz w:val="20"/>
        </w:rPr>
        <w:t>olfe de Californie en empêchant qu’il soit utilisé à des fins de transport maritime de marchandises, nuisible à l’environnement ; et</w:t>
      </w:r>
    </w:p>
    <w:p w14:paraId="267327AD" w14:textId="77777777" w:rsidR="00D31362" w:rsidRPr="00C51CCC" w:rsidRDefault="00D31362" w:rsidP="00AC5FBE">
      <w:pPr>
        <w:spacing w:after="0" w:line="240" w:lineRule="auto"/>
        <w:rPr>
          <w:bCs/>
          <w:sz w:val="20"/>
          <w:szCs w:val="20"/>
        </w:rPr>
      </w:pPr>
    </w:p>
    <w:p w14:paraId="374FBAA4" w14:textId="42FE149E" w:rsidR="32049D2A" w:rsidRPr="00C51CCC" w:rsidRDefault="66E6F7FD" w:rsidP="00AC5FBE">
      <w:pPr>
        <w:spacing w:after="0" w:line="240" w:lineRule="auto"/>
        <w:rPr>
          <w:rFonts w:ascii="Arial" w:eastAsia="Arial" w:hAnsi="Arial" w:cs="Arial"/>
          <w:bCs/>
          <w:sz w:val="20"/>
          <w:szCs w:val="20"/>
        </w:rPr>
      </w:pPr>
      <w:r w:rsidRPr="00C51CCC">
        <w:rPr>
          <w:rFonts w:ascii="Arial" w:hAnsi="Arial"/>
          <w:bCs/>
          <w:sz w:val="20"/>
        </w:rPr>
        <w:t xml:space="preserve">INQUIET de voir que trois projets d’exportation de GNL et leurs infrastructures doivent voir le jour dans le </w:t>
      </w:r>
      <w:r w:rsidR="006C0118" w:rsidRPr="00C51CCC">
        <w:rPr>
          <w:rFonts w:ascii="Arial" w:hAnsi="Arial"/>
          <w:bCs/>
          <w:sz w:val="20"/>
        </w:rPr>
        <w:t>g</w:t>
      </w:r>
      <w:r w:rsidRPr="00C51CCC">
        <w:rPr>
          <w:rFonts w:ascii="Arial" w:hAnsi="Arial"/>
          <w:bCs/>
          <w:sz w:val="20"/>
        </w:rPr>
        <w:t>olfe de Californie, utilisant du méthane extrait par f</w:t>
      </w:r>
      <w:r w:rsidR="006C0118" w:rsidRPr="00C51CCC">
        <w:rPr>
          <w:rFonts w:ascii="Arial" w:hAnsi="Arial"/>
          <w:bCs/>
          <w:sz w:val="20"/>
        </w:rPr>
        <w:t>r</w:t>
      </w:r>
      <w:r w:rsidRPr="00C51CCC">
        <w:rPr>
          <w:rFonts w:ascii="Arial" w:hAnsi="Arial"/>
          <w:bCs/>
          <w:sz w:val="20"/>
        </w:rPr>
        <w:t>acturation hydraulique puis acheminé depuis les États-Unis d’Amérique, et que cela entraînerait une hausse du nombre de navires commerciaux et transportant du GNL, avec d’importantes incidences négatives dont des pollutions, une perturbation des espèces et des collisions de navires ;</w:t>
      </w:r>
    </w:p>
    <w:p w14:paraId="59EA60E2" w14:textId="77777777" w:rsidR="00D31362" w:rsidRPr="00C51CCC" w:rsidRDefault="00D31362" w:rsidP="00AC5FBE">
      <w:pPr>
        <w:spacing w:after="0" w:line="240" w:lineRule="auto"/>
        <w:rPr>
          <w:rFonts w:ascii="Arial" w:eastAsia="Arial" w:hAnsi="Arial" w:cs="Arial"/>
          <w:bCs/>
          <w:sz w:val="20"/>
          <w:szCs w:val="20"/>
        </w:rPr>
      </w:pPr>
    </w:p>
    <w:p w14:paraId="791EAE84" w14:textId="6FD23A25" w:rsidR="00342D93" w:rsidRPr="00C51CCC" w:rsidRDefault="00342D93" w:rsidP="00342D93">
      <w:pPr>
        <w:spacing w:after="0" w:line="240" w:lineRule="auto"/>
        <w:rPr>
          <w:rFonts w:ascii="Arial" w:eastAsia="Arial" w:hAnsi="Arial" w:cs="Arial"/>
          <w:bCs/>
          <w:sz w:val="20"/>
          <w:szCs w:val="20"/>
        </w:rPr>
      </w:pPr>
      <w:r w:rsidRPr="00C51CCC">
        <w:rPr>
          <w:rFonts w:ascii="Arial" w:hAnsi="Arial"/>
          <w:bCs/>
          <w:sz w:val="20"/>
        </w:rPr>
        <w:t>Le Congrès mondial de la nature</w:t>
      </w:r>
      <w:r w:rsidR="00F867D8" w:rsidRPr="00C51CCC">
        <w:rPr>
          <w:rFonts w:ascii="Arial" w:hAnsi="Arial"/>
          <w:bCs/>
          <w:sz w:val="20"/>
        </w:rPr>
        <w:t> </w:t>
      </w:r>
      <w:r w:rsidRPr="00C51CCC">
        <w:rPr>
          <w:rFonts w:ascii="Arial" w:hAnsi="Arial"/>
          <w:bCs/>
          <w:sz w:val="20"/>
        </w:rPr>
        <w:t>2025 de l’UICN, lors de sa session à Abou Dhabi, Émirats arabes unis :</w:t>
      </w:r>
    </w:p>
    <w:p w14:paraId="7E03F4E6" w14:textId="77777777" w:rsidR="00342D93" w:rsidRPr="00C51CCC" w:rsidRDefault="00342D93" w:rsidP="00AC5FBE">
      <w:pPr>
        <w:spacing w:after="0" w:line="240" w:lineRule="auto"/>
        <w:rPr>
          <w:rFonts w:ascii="Arial" w:eastAsia="Arial" w:hAnsi="Arial" w:cs="Arial"/>
          <w:bCs/>
          <w:sz w:val="20"/>
          <w:szCs w:val="20"/>
        </w:rPr>
      </w:pPr>
    </w:p>
    <w:p w14:paraId="6BB6C3E9" w14:textId="2AA572BD" w:rsidR="00342D93" w:rsidRPr="00C51CCC" w:rsidRDefault="66E6F7FD" w:rsidP="00AC5FBE">
      <w:pPr>
        <w:spacing w:after="0" w:line="240" w:lineRule="auto"/>
        <w:rPr>
          <w:bCs/>
          <w:sz w:val="20"/>
          <w:szCs w:val="20"/>
        </w:rPr>
      </w:pPr>
      <w:r w:rsidRPr="00C51CCC">
        <w:rPr>
          <w:rFonts w:ascii="Arial" w:hAnsi="Arial"/>
          <w:bCs/>
          <w:sz w:val="20"/>
        </w:rPr>
        <w:t xml:space="preserve">1. EXHORTE le gouvernement du Mexique à maintenir son rôle actif dans la protection, la conservation et la restauration du </w:t>
      </w:r>
      <w:r w:rsidR="00B26E9C" w:rsidRPr="00C51CCC">
        <w:rPr>
          <w:rFonts w:ascii="Arial" w:hAnsi="Arial"/>
          <w:bCs/>
          <w:sz w:val="20"/>
        </w:rPr>
        <w:t>g</w:t>
      </w:r>
      <w:r w:rsidRPr="00C51CCC">
        <w:rPr>
          <w:rFonts w:ascii="Arial" w:hAnsi="Arial"/>
          <w:bCs/>
          <w:sz w:val="20"/>
        </w:rPr>
        <w:t>olfe de Californie.</w:t>
      </w:r>
    </w:p>
    <w:p w14:paraId="1340B0C1" w14:textId="77777777" w:rsidR="00342D93" w:rsidRPr="00C51CCC" w:rsidRDefault="00342D93" w:rsidP="00AC5FBE">
      <w:pPr>
        <w:spacing w:after="0" w:line="240" w:lineRule="auto"/>
        <w:rPr>
          <w:bCs/>
          <w:sz w:val="20"/>
          <w:szCs w:val="20"/>
        </w:rPr>
      </w:pPr>
    </w:p>
    <w:p w14:paraId="2F57A7B0" w14:textId="2209531D" w:rsidR="00342D93" w:rsidRPr="00C51CCC" w:rsidRDefault="66E6F7FD" w:rsidP="00AC5FBE">
      <w:pPr>
        <w:spacing w:after="0" w:line="240" w:lineRule="auto"/>
        <w:rPr>
          <w:bCs/>
          <w:sz w:val="20"/>
          <w:szCs w:val="20"/>
        </w:rPr>
      </w:pPr>
      <w:r w:rsidRPr="00C51CCC">
        <w:rPr>
          <w:rFonts w:ascii="Arial" w:hAnsi="Arial"/>
          <w:bCs/>
          <w:sz w:val="20"/>
        </w:rPr>
        <w:t xml:space="preserve">2. APPELLE les gouvernements du Mexique et des États-Unis d’Amérique à garantir à l’application du principe de précaution afin de contester et, le cas échéant, réexaminer les mesures qui autorisent l’industrialisation du GNL dans le </w:t>
      </w:r>
      <w:r w:rsidR="006C0118" w:rsidRPr="00C51CCC">
        <w:rPr>
          <w:rFonts w:ascii="Arial" w:hAnsi="Arial"/>
          <w:bCs/>
          <w:sz w:val="20"/>
        </w:rPr>
        <w:t>g</w:t>
      </w:r>
      <w:r w:rsidRPr="00C51CCC">
        <w:rPr>
          <w:rFonts w:ascii="Arial" w:hAnsi="Arial"/>
          <w:bCs/>
          <w:sz w:val="20"/>
        </w:rPr>
        <w:t xml:space="preserve">olfe de Californie, et d’interdire de telles activités pour protéger la diversité biologique unique de la région, son </w:t>
      </w:r>
      <w:r w:rsidR="006C0118" w:rsidRPr="00C51CCC">
        <w:rPr>
          <w:rFonts w:ascii="Arial" w:hAnsi="Arial"/>
          <w:bCs/>
          <w:sz w:val="20"/>
        </w:rPr>
        <w:t>écosystème</w:t>
      </w:r>
      <w:r w:rsidRPr="00C51CCC">
        <w:rPr>
          <w:rFonts w:ascii="Arial" w:hAnsi="Arial"/>
          <w:bCs/>
          <w:sz w:val="20"/>
        </w:rPr>
        <w:t xml:space="preserve"> sensible et les </w:t>
      </w:r>
      <w:r w:rsidR="00276D00" w:rsidRPr="00C51CCC">
        <w:rPr>
          <w:rFonts w:ascii="Arial" w:hAnsi="Arial"/>
          <w:bCs/>
          <w:sz w:val="20"/>
        </w:rPr>
        <w:t xml:space="preserve">peuples autochtones et les communautés locales </w:t>
      </w:r>
      <w:r w:rsidRPr="00C51CCC">
        <w:rPr>
          <w:rFonts w:ascii="Arial" w:hAnsi="Arial"/>
          <w:bCs/>
          <w:sz w:val="20"/>
        </w:rPr>
        <w:t>qui en dépendent.</w:t>
      </w:r>
    </w:p>
    <w:p w14:paraId="46B28FD1" w14:textId="77777777" w:rsidR="00342D93" w:rsidRPr="00C51CCC" w:rsidRDefault="00342D93" w:rsidP="00AC5FBE">
      <w:pPr>
        <w:spacing w:after="0" w:line="240" w:lineRule="auto"/>
        <w:rPr>
          <w:bCs/>
          <w:sz w:val="20"/>
          <w:szCs w:val="20"/>
        </w:rPr>
      </w:pPr>
    </w:p>
    <w:p w14:paraId="06C65C58" w14:textId="5AEA15A9" w:rsidR="00342D93" w:rsidRPr="00C51CCC" w:rsidRDefault="66E6F7FD" w:rsidP="00AC5FBE">
      <w:pPr>
        <w:spacing w:after="0" w:line="240" w:lineRule="auto"/>
        <w:rPr>
          <w:bCs/>
          <w:sz w:val="20"/>
          <w:szCs w:val="20"/>
        </w:rPr>
      </w:pPr>
      <w:r w:rsidRPr="00C51CCC">
        <w:rPr>
          <w:rFonts w:ascii="Arial" w:hAnsi="Arial"/>
          <w:bCs/>
          <w:sz w:val="20"/>
        </w:rPr>
        <w:t xml:space="preserve">3. ENCOURAGE le Directeur général, les Commissions et les Membres à soutenir, selon qu’il convient, au travers </w:t>
      </w:r>
      <w:r w:rsidR="005046CB" w:rsidRPr="00C51CCC">
        <w:rPr>
          <w:rFonts w:ascii="Arial" w:hAnsi="Arial"/>
          <w:bCs/>
          <w:sz w:val="20"/>
        </w:rPr>
        <w:t xml:space="preserve">d’un dialogue de facilitation, </w:t>
      </w:r>
      <w:r w:rsidRPr="00C51CCC">
        <w:rPr>
          <w:rFonts w:ascii="Arial" w:hAnsi="Arial"/>
          <w:bCs/>
          <w:sz w:val="20"/>
        </w:rPr>
        <w:t>d</w:t>
      </w:r>
      <w:r w:rsidR="00F867D8" w:rsidRPr="00C51CCC">
        <w:rPr>
          <w:rFonts w:ascii="Arial" w:hAnsi="Arial"/>
          <w:bCs/>
          <w:sz w:val="20"/>
        </w:rPr>
        <w:t>’</w:t>
      </w:r>
      <w:r w:rsidRPr="00C51CCC">
        <w:rPr>
          <w:rFonts w:ascii="Arial" w:hAnsi="Arial"/>
          <w:bCs/>
          <w:sz w:val="20"/>
        </w:rPr>
        <w:t xml:space="preserve">un appui administratif, scientifique et financier, les </w:t>
      </w:r>
      <w:r w:rsidR="00276D00" w:rsidRPr="00C51CCC">
        <w:rPr>
          <w:rFonts w:ascii="Arial" w:hAnsi="Arial"/>
          <w:bCs/>
          <w:sz w:val="20"/>
        </w:rPr>
        <w:lastRenderedPageBreak/>
        <w:t>peuples autochtones et les communautés locales ainsi que</w:t>
      </w:r>
      <w:r w:rsidRPr="00C51CCC">
        <w:rPr>
          <w:rFonts w:ascii="Arial" w:hAnsi="Arial"/>
          <w:bCs/>
          <w:sz w:val="20"/>
        </w:rPr>
        <w:t xml:space="preserve"> les organisations non gouvernementales qui </w:t>
      </w:r>
      <w:r w:rsidR="006C0118" w:rsidRPr="00C51CCC">
        <w:rPr>
          <w:rFonts w:ascii="Arial" w:hAnsi="Arial"/>
          <w:bCs/>
          <w:sz w:val="20"/>
        </w:rPr>
        <w:t>œuvrent</w:t>
      </w:r>
      <w:r w:rsidRPr="00C51CCC">
        <w:rPr>
          <w:rFonts w:ascii="Arial" w:hAnsi="Arial"/>
          <w:bCs/>
          <w:sz w:val="20"/>
        </w:rPr>
        <w:t xml:space="preserve"> à la protection du </w:t>
      </w:r>
      <w:r w:rsidR="006C0118" w:rsidRPr="00C51CCC">
        <w:rPr>
          <w:rFonts w:ascii="Arial" w:hAnsi="Arial"/>
          <w:bCs/>
          <w:sz w:val="20"/>
        </w:rPr>
        <w:t>g</w:t>
      </w:r>
      <w:r w:rsidRPr="00C51CCC">
        <w:rPr>
          <w:rFonts w:ascii="Arial" w:hAnsi="Arial"/>
          <w:bCs/>
          <w:sz w:val="20"/>
        </w:rPr>
        <w:t>olfe de Californie contre l’industrialisation du GNL et ses infrastructures connexes.</w:t>
      </w:r>
    </w:p>
    <w:p w14:paraId="345FE8E3" w14:textId="77777777" w:rsidR="00342D93" w:rsidRPr="00C51CCC" w:rsidRDefault="00342D93" w:rsidP="00AC5FBE">
      <w:pPr>
        <w:spacing w:after="0" w:line="240" w:lineRule="auto"/>
        <w:rPr>
          <w:bCs/>
          <w:sz w:val="20"/>
          <w:szCs w:val="20"/>
        </w:rPr>
      </w:pPr>
    </w:p>
    <w:p w14:paraId="471D59F8" w14:textId="6286E86B" w:rsidR="32049D2A" w:rsidRPr="00C51CCC" w:rsidRDefault="00945040" w:rsidP="00AC5FBE">
      <w:pPr>
        <w:spacing w:after="0" w:line="240" w:lineRule="auto"/>
        <w:rPr>
          <w:rFonts w:ascii="Arial" w:eastAsia="Arial" w:hAnsi="Arial" w:cs="Arial"/>
          <w:bCs/>
          <w:sz w:val="20"/>
          <w:szCs w:val="20"/>
        </w:rPr>
      </w:pPr>
      <w:r w:rsidRPr="00C51CCC">
        <w:rPr>
          <w:rFonts w:ascii="Arial" w:hAnsi="Arial"/>
          <w:bCs/>
          <w:sz w:val="20"/>
        </w:rPr>
        <w:t>4. DEMANDE au Directeur général et aux Commissions de se préparer à fournir des conseils techniques sur cette question à la demande des gouvernements du Mexique et des États-Unis.</w:t>
      </w:r>
    </w:p>
    <w:p w14:paraId="33C20223" w14:textId="77777777" w:rsidR="00945040" w:rsidRPr="00C51CCC" w:rsidRDefault="00945040" w:rsidP="00AC5FBE">
      <w:pPr>
        <w:spacing w:after="0" w:line="240" w:lineRule="auto"/>
        <w:rPr>
          <w:rFonts w:ascii="Arial" w:eastAsia="Arial" w:hAnsi="Arial" w:cs="Arial"/>
          <w:bCs/>
          <w:sz w:val="20"/>
          <w:szCs w:val="20"/>
        </w:rPr>
      </w:pPr>
    </w:p>
    <w:p w14:paraId="5A47B514" w14:textId="6B871025" w:rsidR="005046CB" w:rsidRPr="00C51CCC" w:rsidRDefault="005046CB" w:rsidP="00945040">
      <w:pPr>
        <w:spacing w:after="0" w:line="240" w:lineRule="auto"/>
        <w:rPr>
          <w:rFonts w:ascii="Arial" w:hAnsi="Arial"/>
          <w:bCs/>
          <w:sz w:val="20"/>
        </w:rPr>
      </w:pPr>
      <w:r w:rsidRPr="00C51CCC">
        <w:rPr>
          <w:rFonts w:ascii="Arial" w:hAnsi="Arial"/>
          <w:bCs/>
          <w:sz w:val="20"/>
        </w:rPr>
        <w:t>5. DEMANDE à l</w:t>
      </w:r>
      <w:r w:rsidR="00F867D8" w:rsidRPr="00C51CCC">
        <w:rPr>
          <w:rFonts w:ascii="Arial" w:hAnsi="Arial"/>
          <w:bCs/>
          <w:sz w:val="20"/>
        </w:rPr>
        <w:t>’</w:t>
      </w:r>
      <w:r w:rsidRPr="00C51CCC">
        <w:rPr>
          <w:rFonts w:ascii="Arial" w:hAnsi="Arial"/>
          <w:bCs/>
          <w:sz w:val="20"/>
        </w:rPr>
        <w:t>UICN d</w:t>
      </w:r>
      <w:r w:rsidR="00F867D8" w:rsidRPr="00C51CCC">
        <w:rPr>
          <w:rFonts w:ascii="Arial" w:hAnsi="Arial"/>
          <w:bCs/>
          <w:sz w:val="20"/>
        </w:rPr>
        <w:t>’</w:t>
      </w:r>
      <w:r w:rsidRPr="00C51CCC">
        <w:rPr>
          <w:rFonts w:ascii="Arial" w:hAnsi="Arial"/>
          <w:bCs/>
          <w:sz w:val="20"/>
        </w:rPr>
        <w:t>étudier les possibilités de servir de plateforme neutre pour soutenir le dialogue entre le Gouvernement mexicain, les peuples autochtones et les communautés locales et les organisations de la société civile, en garantissant une participation significative et la protection de l</w:t>
      </w:r>
      <w:r w:rsidR="00F867D8" w:rsidRPr="00C51CCC">
        <w:rPr>
          <w:rFonts w:ascii="Arial" w:hAnsi="Arial"/>
          <w:bCs/>
          <w:sz w:val="20"/>
        </w:rPr>
        <w:t>’</w:t>
      </w:r>
      <w:r w:rsidRPr="00C51CCC">
        <w:rPr>
          <w:rFonts w:ascii="Arial" w:hAnsi="Arial"/>
          <w:bCs/>
          <w:sz w:val="20"/>
        </w:rPr>
        <w:t>espace civique dans la conservation du golfe de Californie.</w:t>
      </w:r>
    </w:p>
    <w:p w14:paraId="2B6F0785" w14:textId="77777777" w:rsidR="005046CB" w:rsidRPr="00C51CCC" w:rsidRDefault="005046CB" w:rsidP="00945040">
      <w:pPr>
        <w:spacing w:after="0" w:line="240" w:lineRule="auto"/>
        <w:rPr>
          <w:rFonts w:ascii="Arial" w:hAnsi="Arial"/>
          <w:bCs/>
          <w:sz w:val="20"/>
        </w:rPr>
      </w:pPr>
    </w:p>
    <w:p w14:paraId="6AEFE1C1" w14:textId="29210F14" w:rsidR="00945040" w:rsidRPr="00C51CCC" w:rsidRDefault="005046CB" w:rsidP="00945040">
      <w:pPr>
        <w:spacing w:after="0" w:line="240" w:lineRule="auto"/>
        <w:rPr>
          <w:rFonts w:ascii="Arial" w:eastAsia="Arial" w:hAnsi="Arial" w:cs="Arial"/>
          <w:bCs/>
          <w:sz w:val="20"/>
          <w:szCs w:val="20"/>
        </w:rPr>
      </w:pPr>
      <w:r w:rsidRPr="00C51CCC">
        <w:rPr>
          <w:rFonts w:ascii="Arial" w:hAnsi="Arial"/>
          <w:bCs/>
          <w:sz w:val="20"/>
        </w:rPr>
        <w:t>6</w:t>
      </w:r>
      <w:r w:rsidR="00945040" w:rsidRPr="00C51CCC">
        <w:rPr>
          <w:rFonts w:ascii="Arial" w:hAnsi="Arial"/>
          <w:bCs/>
          <w:sz w:val="20"/>
        </w:rPr>
        <w:t>. PRIE INSTAMMENT les entreprises, les organismes du secteur public, les institutions financières, les organismes de certification et les groupes industriels de :</w:t>
      </w:r>
    </w:p>
    <w:p w14:paraId="0FB4923E" w14:textId="77777777" w:rsidR="00945040" w:rsidRPr="00C51CCC" w:rsidRDefault="00945040" w:rsidP="00945040">
      <w:pPr>
        <w:spacing w:after="0" w:line="240" w:lineRule="auto"/>
        <w:rPr>
          <w:rFonts w:ascii="Arial" w:eastAsia="Arial" w:hAnsi="Arial" w:cs="Arial"/>
          <w:bCs/>
          <w:sz w:val="20"/>
          <w:szCs w:val="20"/>
        </w:rPr>
      </w:pPr>
    </w:p>
    <w:p w14:paraId="1D5B0202" w14:textId="232F5D1F" w:rsidR="00945040" w:rsidRPr="00C51CCC" w:rsidRDefault="00945040" w:rsidP="00945040">
      <w:pPr>
        <w:spacing w:after="0" w:line="240" w:lineRule="auto"/>
        <w:rPr>
          <w:rFonts w:ascii="Arial" w:eastAsia="Arial" w:hAnsi="Arial" w:cs="Arial"/>
          <w:bCs/>
          <w:sz w:val="20"/>
          <w:szCs w:val="20"/>
        </w:rPr>
      </w:pPr>
      <w:r w:rsidRPr="00C51CCC">
        <w:rPr>
          <w:rFonts w:ascii="Arial" w:hAnsi="Arial"/>
          <w:bCs/>
          <w:sz w:val="20"/>
        </w:rPr>
        <w:t xml:space="preserve">a. respecter toutes les catégories d’aires protégées </w:t>
      </w:r>
      <w:r w:rsidR="005046CB" w:rsidRPr="00C51CCC">
        <w:rPr>
          <w:rFonts w:ascii="Arial" w:hAnsi="Arial"/>
          <w:bCs/>
          <w:sz w:val="20"/>
        </w:rPr>
        <w:t>et les zones reconnues pour leur grande importance en matière de biodiversité, telles que les zones clés pour la biodiversité en tant que zones où les activités industrielles et le développement d</w:t>
      </w:r>
      <w:r w:rsidR="00F867D8" w:rsidRPr="00C51CCC">
        <w:rPr>
          <w:rFonts w:ascii="Arial" w:hAnsi="Arial"/>
          <w:bCs/>
          <w:sz w:val="20"/>
        </w:rPr>
        <w:t>’</w:t>
      </w:r>
      <w:r w:rsidR="005046CB" w:rsidRPr="00C51CCC">
        <w:rPr>
          <w:rFonts w:ascii="Arial" w:hAnsi="Arial"/>
          <w:bCs/>
          <w:sz w:val="20"/>
        </w:rPr>
        <w:t>infrastructures nuisibles à l</w:t>
      </w:r>
      <w:r w:rsidR="00F867D8" w:rsidRPr="00C51CCC">
        <w:rPr>
          <w:rFonts w:ascii="Arial" w:hAnsi="Arial"/>
          <w:bCs/>
          <w:sz w:val="20"/>
        </w:rPr>
        <w:t>’</w:t>
      </w:r>
      <w:r w:rsidR="005046CB" w:rsidRPr="00C51CCC">
        <w:rPr>
          <w:rFonts w:ascii="Arial" w:hAnsi="Arial"/>
          <w:bCs/>
          <w:sz w:val="20"/>
        </w:rPr>
        <w:t>environnement devraient être évités ;</w:t>
      </w:r>
    </w:p>
    <w:p w14:paraId="4768C405" w14:textId="77777777" w:rsidR="00945040" w:rsidRPr="00C51CCC" w:rsidRDefault="00945040" w:rsidP="00945040">
      <w:pPr>
        <w:spacing w:after="0" w:line="240" w:lineRule="auto"/>
        <w:rPr>
          <w:rFonts w:ascii="Arial" w:eastAsia="Arial" w:hAnsi="Arial" w:cs="Arial"/>
          <w:bCs/>
          <w:sz w:val="20"/>
          <w:szCs w:val="20"/>
        </w:rPr>
      </w:pPr>
    </w:p>
    <w:p w14:paraId="1934BDA0" w14:textId="77777777" w:rsidR="00945040" w:rsidRPr="00C51CCC" w:rsidRDefault="00945040" w:rsidP="00945040">
      <w:pPr>
        <w:spacing w:after="0" w:line="240" w:lineRule="auto"/>
        <w:rPr>
          <w:rFonts w:ascii="Arial" w:eastAsia="Arial" w:hAnsi="Arial" w:cs="Arial"/>
          <w:bCs/>
          <w:sz w:val="20"/>
          <w:szCs w:val="20"/>
        </w:rPr>
      </w:pPr>
      <w:r w:rsidRPr="00C51CCC">
        <w:rPr>
          <w:rFonts w:ascii="Arial" w:hAnsi="Arial"/>
          <w:bCs/>
          <w:sz w:val="20"/>
        </w:rPr>
        <w:t>b. refuser ou supprimer le financement d’activités qui nuisent aux zones reconnues comme importantes pour la biodiversité et les services écosystémiques qu’elles fournissent ; et</w:t>
      </w:r>
    </w:p>
    <w:p w14:paraId="175B5362" w14:textId="77777777" w:rsidR="00945040" w:rsidRPr="00C51CCC" w:rsidRDefault="00945040" w:rsidP="00945040">
      <w:pPr>
        <w:spacing w:after="0" w:line="240" w:lineRule="auto"/>
        <w:rPr>
          <w:rFonts w:ascii="Arial" w:eastAsia="Arial" w:hAnsi="Arial" w:cs="Arial"/>
          <w:bCs/>
          <w:sz w:val="20"/>
          <w:szCs w:val="20"/>
        </w:rPr>
      </w:pPr>
    </w:p>
    <w:p w14:paraId="259A892E" w14:textId="7DC3B923" w:rsidR="00945040" w:rsidRPr="00C51CCC" w:rsidRDefault="00945040" w:rsidP="00945040">
      <w:pPr>
        <w:spacing w:after="0" w:line="240" w:lineRule="auto"/>
        <w:rPr>
          <w:rFonts w:ascii="Arial" w:eastAsia="Arial" w:hAnsi="Arial" w:cs="Arial"/>
          <w:bCs/>
          <w:sz w:val="20"/>
          <w:szCs w:val="20"/>
        </w:rPr>
      </w:pPr>
      <w:r w:rsidRPr="00C51CCC">
        <w:rPr>
          <w:rFonts w:ascii="Arial" w:hAnsi="Arial"/>
          <w:bCs/>
          <w:sz w:val="20"/>
        </w:rPr>
        <w:t>c. éviter de mener toute activité préjudiciable dans ces zones.</w:t>
      </w:r>
    </w:p>
    <w:p w14:paraId="7CB94743" w14:textId="77777777" w:rsidR="00945040" w:rsidRPr="00C51CCC" w:rsidRDefault="00945040" w:rsidP="00AC5FBE">
      <w:pPr>
        <w:spacing w:after="0" w:line="240" w:lineRule="auto"/>
        <w:rPr>
          <w:rFonts w:ascii="Arial" w:eastAsia="Arial" w:hAnsi="Arial" w:cs="Arial"/>
          <w:bCs/>
          <w:sz w:val="20"/>
          <w:szCs w:val="20"/>
        </w:rPr>
      </w:pPr>
    </w:p>
    <w:p w14:paraId="1405F748" w14:textId="5531E48C" w:rsidR="005046CB" w:rsidRPr="00C51CCC" w:rsidRDefault="005046CB" w:rsidP="00AC5FBE">
      <w:pPr>
        <w:spacing w:after="0" w:line="240" w:lineRule="auto"/>
        <w:rPr>
          <w:rFonts w:ascii="Arial" w:eastAsia="Arial" w:hAnsi="Arial" w:cs="Arial"/>
          <w:bCs/>
          <w:i/>
          <w:sz w:val="20"/>
          <w:szCs w:val="20"/>
        </w:rPr>
      </w:pPr>
      <w:r w:rsidRPr="00C51CCC">
        <w:rPr>
          <w:rFonts w:ascii="Arial" w:eastAsia="Arial" w:hAnsi="Arial" w:cs="Arial"/>
          <w:bCs/>
          <w:i/>
          <w:sz w:val="20"/>
          <w:szCs w:val="20"/>
        </w:rPr>
        <w:t>Avertissement</w:t>
      </w:r>
      <w:r w:rsidR="00F867D8" w:rsidRPr="00C51CCC">
        <w:rPr>
          <w:rFonts w:ascii="Arial" w:eastAsia="Arial" w:hAnsi="Arial" w:cs="Arial"/>
          <w:bCs/>
          <w:i/>
          <w:sz w:val="20"/>
          <w:szCs w:val="20"/>
        </w:rPr>
        <w:t> </w:t>
      </w:r>
      <w:r w:rsidRPr="00C51CCC">
        <w:rPr>
          <w:rFonts w:ascii="Arial" w:eastAsia="Arial" w:hAnsi="Arial" w:cs="Arial"/>
          <w:bCs/>
          <w:i/>
          <w:sz w:val="20"/>
          <w:szCs w:val="20"/>
        </w:rPr>
        <w:t>: L</w:t>
      </w:r>
      <w:r w:rsidR="00F867D8" w:rsidRPr="00C51CCC">
        <w:rPr>
          <w:rFonts w:ascii="Arial" w:eastAsia="Arial" w:hAnsi="Arial" w:cs="Arial"/>
          <w:bCs/>
          <w:i/>
          <w:sz w:val="20"/>
          <w:szCs w:val="20"/>
        </w:rPr>
        <w:t>’</w:t>
      </w:r>
      <w:r w:rsidRPr="00C51CCC">
        <w:rPr>
          <w:rFonts w:ascii="Arial" w:eastAsia="Arial" w:hAnsi="Arial" w:cs="Arial"/>
          <w:bCs/>
          <w:i/>
          <w:sz w:val="20"/>
          <w:szCs w:val="20"/>
        </w:rPr>
        <w:t xml:space="preserve">adoption de cette décision par les </w:t>
      </w:r>
      <w:r w:rsidR="0048636C" w:rsidRPr="00C51CCC">
        <w:rPr>
          <w:rFonts w:ascii="Arial" w:eastAsia="Arial" w:hAnsi="Arial" w:cs="Arial"/>
          <w:bCs/>
          <w:i/>
          <w:sz w:val="20"/>
          <w:szCs w:val="20"/>
        </w:rPr>
        <w:t>M</w:t>
      </w:r>
      <w:r w:rsidRPr="00C51CCC">
        <w:rPr>
          <w:rFonts w:ascii="Arial" w:eastAsia="Arial" w:hAnsi="Arial" w:cs="Arial"/>
          <w:bCs/>
          <w:i/>
          <w:sz w:val="20"/>
          <w:szCs w:val="20"/>
        </w:rPr>
        <w:t>embres de l</w:t>
      </w:r>
      <w:r w:rsidR="00F867D8" w:rsidRPr="00C51CCC">
        <w:rPr>
          <w:rFonts w:ascii="Arial" w:eastAsia="Arial" w:hAnsi="Arial" w:cs="Arial"/>
          <w:bCs/>
          <w:i/>
          <w:sz w:val="20"/>
          <w:szCs w:val="20"/>
        </w:rPr>
        <w:t>’</w:t>
      </w:r>
      <w:r w:rsidRPr="00C51CCC">
        <w:rPr>
          <w:rFonts w:ascii="Arial" w:eastAsia="Arial" w:hAnsi="Arial" w:cs="Arial"/>
          <w:bCs/>
          <w:i/>
          <w:sz w:val="20"/>
          <w:szCs w:val="20"/>
        </w:rPr>
        <w:t>UICN ne porte pas atteinte au rôle de l</w:t>
      </w:r>
      <w:r w:rsidR="00F867D8" w:rsidRPr="00C51CCC">
        <w:rPr>
          <w:rFonts w:ascii="Arial" w:eastAsia="Arial" w:hAnsi="Arial" w:cs="Arial"/>
          <w:bCs/>
          <w:i/>
          <w:sz w:val="20"/>
          <w:szCs w:val="20"/>
        </w:rPr>
        <w:t>’</w:t>
      </w:r>
      <w:r w:rsidRPr="00C51CCC">
        <w:rPr>
          <w:rFonts w:ascii="Arial" w:eastAsia="Arial" w:hAnsi="Arial" w:cs="Arial"/>
          <w:bCs/>
          <w:i/>
          <w:sz w:val="20"/>
          <w:szCs w:val="20"/>
        </w:rPr>
        <w:t>UICN qui consiste à fournir des avis techniques indépendants au Comité du patrimoine mondial.</w:t>
      </w:r>
    </w:p>
    <w:sectPr w:rsidR="005046CB" w:rsidRPr="00C51CCC" w:rsidSect="00E6598F">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D5D9B" w14:textId="77777777" w:rsidR="00D809C3" w:rsidRDefault="00D809C3" w:rsidP="00B26E9C">
      <w:pPr>
        <w:spacing w:after="0" w:line="240" w:lineRule="auto"/>
      </w:pPr>
      <w:r>
        <w:separator/>
      </w:r>
    </w:p>
  </w:endnote>
  <w:endnote w:type="continuationSeparator" w:id="0">
    <w:p w14:paraId="5E410060" w14:textId="77777777" w:rsidR="00D809C3" w:rsidRDefault="00D809C3" w:rsidP="00B26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458E0" w14:textId="77777777" w:rsidR="00B26E9C" w:rsidRDefault="00B26E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325B1" w14:textId="77777777" w:rsidR="00B26E9C" w:rsidRDefault="00B26E9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17975" w14:textId="77777777" w:rsidR="00B26E9C" w:rsidRDefault="00B26E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05AAD1" w14:textId="77777777" w:rsidR="00D809C3" w:rsidRDefault="00D809C3" w:rsidP="00B26E9C">
      <w:pPr>
        <w:spacing w:after="0" w:line="240" w:lineRule="auto"/>
      </w:pPr>
      <w:r>
        <w:separator/>
      </w:r>
    </w:p>
  </w:footnote>
  <w:footnote w:type="continuationSeparator" w:id="0">
    <w:p w14:paraId="79472177" w14:textId="77777777" w:rsidR="00D809C3" w:rsidRDefault="00D809C3" w:rsidP="00B26E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890F8" w14:textId="77777777" w:rsidR="00B26E9C" w:rsidRDefault="00B26E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20469" w14:textId="77777777" w:rsidR="00B26E9C" w:rsidRDefault="00B26E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5F302" w14:textId="77777777" w:rsidR="00B26E9C" w:rsidRDefault="00B26E9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1585DD9"/>
    <w:rsid w:val="00035B10"/>
    <w:rsid w:val="00082FF1"/>
    <w:rsid w:val="00114ADE"/>
    <w:rsid w:val="0011661A"/>
    <w:rsid w:val="00141866"/>
    <w:rsid w:val="001C0C6D"/>
    <w:rsid w:val="001E6DD8"/>
    <w:rsid w:val="00246669"/>
    <w:rsid w:val="00255E6E"/>
    <w:rsid w:val="00262C3B"/>
    <w:rsid w:val="00276D00"/>
    <w:rsid w:val="002C501E"/>
    <w:rsid w:val="00303B42"/>
    <w:rsid w:val="00342D93"/>
    <w:rsid w:val="0034687A"/>
    <w:rsid w:val="003A2AFF"/>
    <w:rsid w:val="0048636C"/>
    <w:rsid w:val="004A517A"/>
    <w:rsid w:val="005046CB"/>
    <w:rsid w:val="005A77C8"/>
    <w:rsid w:val="006C0118"/>
    <w:rsid w:val="006E0C2C"/>
    <w:rsid w:val="0070107C"/>
    <w:rsid w:val="00735069"/>
    <w:rsid w:val="007E3ABA"/>
    <w:rsid w:val="00892D25"/>
    <w:rsid w:val="00945040"/>
    <w:rsid w:val="009C2E6A"/>
    <w:rsid w:val="00A15600"/>
    <w:rsid w:val="00A327BC"/>
    <w:rsid w:val="00AB3DDD"/>
    <w:rsid w:val="00AC049B"/>
    <w:rsid w:val="00AC5FBE"/>
    <w:rsid w:val="00AD011B"/>
    <w:rsid w:val="00AE054B"/>
    <w:rsid w:val="00B076A1"/>
    <w:rsid w:val="00B26E9C"/>
    <w:rsid w:val="00BB2CDA"/>
    <w:rsid w:val="00C51CCC"/>
    <w:rsid w:val="00CA3553"/>
    <w:rsid w:val="00CD6CC7"/>
    <w:rsid w:val="00CE718E"/>
    <w:rsid w:val="00D27302"/>
    <w:rsid w:val="00D31362"/>
    <w:rsid w:val="00D32324"/>
    <w:rsid w:val="00D41969"/>
    <w:rsid w:val="00D60C75"/>
    <w:rsid w:val="00D809C3"/>
    <w:rsid w:val="00D94E03"/>
    <w:rsid w:val="00DD0288"/>
    <w:rsid w:val="00E20EBB"/>
    <w:rsid w:val="00E31F3C"/>
    <w:rsid w:val="00E60024"/>
    <w:rsid w:val="00E6598F"/>
    <w:rsid w:val="00EE126A"/>
    <w:rsid w:val="00EF5109"/>
    <w:rsid w:val="00F219C9"/>
    <w:rsid w:val="00F5426A"/>
    <w:rsid w:val="00F867D8"/>
    <w:rsid w:val="03948B39"/>
    <w:rsid w:val="0A843700"/>
    <w:rsid w:val="1706E610"/>
    <w:rsid w:val="2256DF1A"/>
    <w:rsid w:val="299A327A"/>
    <w:rsid w:val="2D431D7B"/>
    <w:rsid w:val="32049D2A"/>
    <w:rsid w:val="3343AD84"/>
    <w:rsid w:val="37E33118"/>
    <w:rsid w:val="3A861781"/>
    <w:rsid w:val="3D255BDD"/>
    <w:rsid w:val="3EEE5934"/>
    <w:rsid w:val="4420B8EF"/>
    <w:rsid w:val="46F3FF25"/>
    <w:rsid w:val="4E9D7B3B"/>
    <w:rsid w:val="4EC4D411"/>
    <w:rsid w:val="4FEC2640"/>
    <w:rsid w:val="5550FC34"/>
    <w:rsid w:val="55537D81"/>
    <w:rsid w:val="5DC68982"/>
    <w:rsid w:val="5DFA5EDA"/>
    <w:rsid w:val="5F480367"/>
    <w:rsid w:val="663A1F1F"/>
    <w:rsid w:val="66D8CFD1"/>
    <w:rsid w:val="66E6F7FD"/>
    <w:rsid w:val="6CCA0BCF"/>
    <w:rsid w:val="71585DD9"/>
    <w:rsid w:val="7D6E08C3"/>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85DD9"/>
  <w15:docId w15:val="{94393099-A961-45D7-83A7-0899FFBDA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AC5FBE"/>
    <w:pPr>
      <w:spacing w:after="0" w:line="240" w:lineRule="auto"/>
    </w:pPr>
  </w:style>
  <w:style w:type="paragraph" w:styleId="ListParagraph">
    <w:name w:val="List Paragraph"/>
    <w:basedOn w:val="Normal"/>
    <w:uiPriority w:val="34"/>
    <w:qFormat/>
    <w:rsid w:val="005A77C8"/>
    <w:pPr>
      <w:ind w:left="720"/>
      <w:contextualSpacing/>
    </w:pPr>
  </w:style>
  <w:style w:type="character" w:styleId="CommentReference">
    <w:name w:val="annotation reference"/>
    <w:basedOn w:val="DefaultParagraphFont"/>
    <w:uiPriority w:val="99"/>
    <w:semiHidden/>
    <w:unhideWhenUsed/>
    <w:rsid w:val="00A15600"/>
    <w:rPr>
      <w:sz w:val="16"/>
      <w:szCs w:val="16"/>
    </w:rPr>
  </w:style>
  <w:style w:type="paragraph" w:styleId="CommentText">
    <w:name w:val="annotation text"/>
    <w:basedOn w:val="Normal"/>
    <w:link w:val="CommentTextChar"/>
    <w:uiPriority w:val="99"/>
    <w:unhideWhenUsed/>
    <w:rsid w:val="00A15600"/>
    <w:pPr>
      <w:spacing w:line="240" w:lineRule="auto"/>
    </w:pPr>
    <w:rPr>
      <w:sz w:val="20"/>
      <w:szCs w:val="20"/>
    </w:rPr>
  </w:style>
  <w:style w:type="character" w:customStyle="1" w:styleId="CommentTextChar">
    <w:name w:val="Comment Text Char"/>
    <w:basedOn w:val="DefaultParagraphFont"/>
    <w:link w:val="CommentText"/>
    <w:uiPriority w:val="99"/>
    <w:rsid w:val="00A15600"/>
    <w:rPr>
      <w:sz w:val="20"/>
      <w:szCs w:val="20"/>
    </w:rPr>
  </w:style>
  <w:style w:type="paragraph" w:styleId="CommentSubject">
    <w:name w:val="annotation subject"/>
    <w:basedOn w:val="CommentText"/>
    <w:next w:val="CommentText"/>
    <w:link w:val="CommentSubjectChar"/>
    <w:uiPriority w:val="99"/>
    <w:semiHidden/>
    <w:unhideWhenUsed/>
    <w:rsid w:val="00A15600"/>
    <w:rPr>
      <w:b/>
      <w:bCs/>
    </w:rPr>
  </w:style>
  <w:style w:type="character" w:customStyle="1" w:styleId="CommentSubjectChar">
    <w:name w:val="Comment Subject Char"/>
    <w:basedOn w:val="CommentTextChar"/>
    <w:link w:val="CommentSubject"/>
    <w:uiPriority w:val="99"/>
    <w:semiHidden/>
    <w:rsid w:val="00A15600"/>
    <w:rPr>
      <w:b/>
      <w:bCs/>
      <w:sz w:val="20"/>
      <w:szCs w:val="20"/>
    </w:rPr>
  </w:style>
  <w:style w:type="character" w:styleId="Hyperlink">
    <w:name w:val="Hyperlink"/>
    <w:basedOn w:val="DefaultParagraphFont"/>
    <w:uiPriority w:val="99"/>
    <w:unhideWhenUsed/>
    <w:rsid w:val="00EE126A"/>
    <w:rPr>
      <w:color w:val="467886" w:themeColor="hyperlink"/>
      <w:u w:val="single"/>
    </w:rPr>
  </w:style>
  <w:style w:type="character" w:customStyle="1" w:styleId="UnresolvedMention1">
    <w:name w:val="Unresolved Mention1"/>
    <w:basedOn w:val="DefaultParagraphFont"/>
    <w:uiPriority w:val="99"/>
    <w:semiHidden/>
    <w:unhideWhenUsed/>
    <w:rsid w:val="00EE126A"/>
    <w:rPr>
      <w:color w:val="605E5C"/>
      <w:shd w:val="clear" w:color="auto" w:fill="E1DFDD"/>
    </w:rPr>
  </w:style>
  <w:style w:type="paragraph" w:styleId="Header">
    <w:name w:val="header"/>
    <w:basedOn w:val="Normal"/>
    <w:link w:val="HeaderChar"/>
    <w:uiPriority w:val="99"/>
    <w:unhideWhenUsed/>
    <w:rsid w:val="00B26E9C"/>
    <w:pPr>
      <w:tabs>
        <w:tab w:val="center" w:pos="4536"/>
        <w:tab w:val="right" w:pos="9072"/>
      </w:tabs>
      <w:spacing w:after="0" w:line="240" w:lineRule="auto"/>
    </w:pPr>
  </w:style>
  <w:style w:type="character" w:customStyle="1" w:styleId="HeaderChar">
    <w:name w:val="Header Char"/>
    <w:basedOn w:val="DefaultParagraphFont"/>
    <w:link w:val="Header"/>
    <w:uiPriority w:val="99"/>
    <w:rsid w:val="00B26E9C"/>
  </w:style>
  <w:style w:type="paragraph" w:styleId="Footer">
    <w:name w:val="footer"/>
    <w:basedOn w:val="Normal"/>
    <w:link w:val="FooterChar"/>
    <w:uiPriority w:val="99"/>
    <w:unhideWhenUsed/>
    <w:rsid w:val="00B26E9C"/>
    <w:pPr>
      <w:tabs>
        <w:tab w:val="center" w:pos="4536"/>
        <w:tab w:val="right" w:pos="9072"/>
      </w:tabs>
      <w:spacing w:after="0" w:line="240" w:lineRule="auto"/>
    </w:pPr>
  </w:style>
  <w:style w:type="character" w:customStyle="1" w:styleId="FooterChar">
    <w:name w:val="Footer Char"/>
    <w:basedOn w:val="DefaultParagraphFont"/>
    <w:link w:val="Footer"/>
    <w:uiPriority w:val="99"/>
    <w:rsid w:val="00B26E9C"/>
  </w:style>
  <w:style w:type="paragraph" w:styleId="BalloonText">
    <w:name w:val="Balloon Text"/>
    <w:basedOn w:val="Normal"/>
    <w:link w:val="BalloonTextChar"/>
    <w:uiPriority w:val="99"/>
    <w:semiHidden/>
    <w:unhideWhenUsed/>
    <w:rsid w:val="005046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46C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7503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FDB4597-F8FF-4124-8D8B-DEC04C898F0D}">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B978EEAF-8050-4B9C-AFBC-C75A41076C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39394F-8BC4-4357-9722-85A1AF4C085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823</Words>
  <Characters>4693</Characters>
  <Application>Microsoft Office Word</Application>
  <DocSecurity>0</DocSecurity>
  <Lines>39</Lines>
  <Paragraphs>11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ANNAYEV Tavus</cp:lastModifiedBy>
  <cp:revision>5</cp:revision>
  <dcterms:created xsi:type="dcterms:W3CDTF">2025-07-17T16:46:00Z</dcterms:created>
  <dcterms:modified xsi:type="dcterms:W3CDTF">2025-11-03T10:45:00Z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